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8E13FA" w:rsidP="008E13FA" w:rsidRDefault="008E13FA" w14:paraId="392DDE62" wp14:textId="77777777">
      <w:pPr>
        <w:spacing w:after="0" w:line="240" w:lineRule="auto"/>
        <w:jc w:val="center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r w:rsidRPr="009B4C8C">
        <w:rPr>
          <w:rFonts w:ascii="Fotogram Light" w:hAnsi="Fotogram Light" w:eastAsia="Calibri" w:cs="Calibri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Emotional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Foundations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Success</w:t>
      </w:r>
      <w:bookmarkEnd w:id="0"/>
      <w:proofErr w:type="spellEnd"/>
    </w:p>
    <w:p xmlns:wp14="http://schemas.microsoft.com/office/word/2010/wordml" w:rsidRPr="009B4C8C" w:rsidR="008E13FA" w:rsidP="008E13FA" w:rsidRDefault="008E13FA" w14:paraId="6F6C0E5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PSYM21-CS-103</w:t>
      </w:r>
    </w:p>
    <w:p xmlns:wp14="http://schemas.microsoft.com/office/word/2010/wordml" w:rsidRPr="009B4C8C" w:rsidR="008E13FA" w:rsidP="008E13FA" w:rsidRDefault="008E13FA" w14:paraId="0AFF9D87" wp14:textId="77777777">
      <w:pPr>
        <w:spacing w:after="0" w:line="240" w:lineRule="auto"/>
        <w:jc w:val="center"/>
        <w:rPr>
          <w:rFonts w:ascii="Fotogram Light" w:hAnsi="Fotogram Light" w:eastAsia="Calibri" w:cs="Calibri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Calibri" w:cs="Calibri"/>
          <w:sz w:val="20"/>
          <w:szCs w:val="20"/>
        </w:rPr>
        <w:t>Jármi Éva</w:t>
      </w:r>
    </w:p>
    <w:p xmlns:wp14="http://schemas.microsoft.com/office/word/2010/wordml" w:rsidRPr="009B4C8C" w:rsidR="008E13FA" w:rsidP="008E13FA" w:rsidRDefault="008E13FA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 PhD</w:t>
      </w:r>
    </w:p>
    <w:p xmlns:wp14="http://schemas.microsoft.com/office/word/2010/wordml" w:rsidRPr="009B4C8C" w:rsidR="008E13FA" w:rsidP="008E13FA" w:rsidRDefault="008E13FA" w14:paraId="282D16F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9B4C8C" w:rsidR="008E13FA" w:rsidP="008E13FA" w:rsidRDefault="008E13FA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8E13FA" w:rsidP="008E13FA" w:rsidRDefault="008E13FA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E13FA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8E13FA" w:rsidP="009B4C8C" w:rsidRDefault="008E13FA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8E13FA" w:rsidP="008E13FA" w:rsidRDefault="008E13FA" w14:paraId="6D543505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</w:p>
    <w:p xmlns:wp14="http://schemas.microsoft.com/office/word/2010/wordml" w:rsidRPr="009B4C8C" w:rsidR="008E13FA" w:rsidP="008E13FA" w:rsidRDefault="008E13FA" w14:paraId="06F510F3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affective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influencing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become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navigate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among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categories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emotional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increase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achievement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among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including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normative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9B4C8C" w:rsidR="008E13FA" w:rsidP="008E13FA" w:rsidRDefault="008E13FA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8E13FA" w:rsidP="008E13FA" w:rsidRDefault="008E13FA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39BE0695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aware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affective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impact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achievement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difficulties</w:t>
      </w:r>
      <w:proofErr w:type="spellEnd"/>
    </w:p>
    <w:p xmlns:wp14="http://schemas.microsoft.com/office/word/2010/wordml" w:rsidRPr="009B4C8C" w:rsidR="008E13FA" w:rsidP="008E13FA" w:rsidRDefault="008E13FA" w14:paraId="34FA536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has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up-to-date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diagnostic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categories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diagnostic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</w:p>
    <w:p xmlns:wp14="http://schemas.microsoft.com/office/word/2010/wordml" w:rsidRPr="009B4C8C" w:rsidR="008E13FA" w:rsidP="008E13FA" w:rsidRDefault="008E13FA" w14:paraId="48DF300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has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underlying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5FBE960F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aware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terms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ways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institutions</w:t>
      </w:r>
      <w:proofErr w:type="spellEnd"/>
    </w:p>
    <w:p xmlns:wp14="http://schemas.microsoft.com/office/word/2010/wordml" w:rsidRPr="009B4C8C" w:rsidR="008E13FA" w:rsidP="008E13FA" w:rsidRDefault="008E13FA" w14:paraId="24305D3E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motivational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sources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8E13FA" w:rsidP="008E13FA" w:rsidRDefault="008E13FA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49275DF0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affective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influencing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complex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way</w:t>
      </w:r>
      <w:proofErr w:type="spellEnd"/>
    </w:p>
    <w:p xmlns:wp14="http://schemas.microsoft.com/office/word/2010/wordml" w:rsidRPr="009B4C8C" w:rsidR="008E13FA" w:rsidP="008E13FA" w:rsidRDefault="008E13FA" w14:paraId="772561EB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well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-being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effectiveness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pupils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teachers</w:t>
      </w:r>
      <w:proofErr w:type="spellEnd"/>
    </w:p>
    <w:p xmlns:wp14="http://schemas.microsoft.com/office/word/2010/wordml" w:rsidRPr="009B4C8C" w:rsidR="008E13FA" w:rsidP="008E13FA" w:rsidRDefault="008E13FA" w14:paraId="1EEB087C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consider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pupils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personalities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motivational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concurrently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success</w:t>
      </w:r>
      <w:proofErr w:type="spellEnd"/>
    </w:p>
    <w:p xmlns:wp14="http://schemas.microsoft.com/office/word/2010/wordml" w:rsidRPr="009B4C8C" w:rsidR="008E13FA" w:rsidP="008E13FA" w:rsidRDefault="008E13FA" w14:paraId="3DBBCF13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follow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3BF09A9D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identify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endangering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success</w:t>
      </w:r>
      <w:proofErr w:type="spellEnd"/>
    </w:p>
    <w:p xmlns:wp14="http://schemas.microsoft.com/office/word/2010/wordml" w:rsidRPr="009B4C8C" w:rsidR="008E13FA" w:rsidP="008E13FA" w:rsidRDefault="008E13FA" w14:paraId="2C8203BE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diagnoses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diagnoses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occurring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42C93AB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prevention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programs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formulate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7E6F4184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recognize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influencing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affective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78EDB3BF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measuring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diagnostics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context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9B4C8C" w:rsidR="008E13FA" w:rsidP="008E13FA" w:rsidRDefault="008E13FA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E13FA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8E13FA" w:rsidP="009B4C8C" w:rsidRDefault="008E13FA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8E13FA" w:rsidP="008E13FA" w:rsidRDefault="008E13FA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8E13FA" w:rsidP="008E13FA" w:rsidRDefault="008E13FA" w14:paraId="341F96B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Achievement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well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-being,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system-based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affective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influencing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</w:p>
    <w:p xmlns:wp14="http://schemas.microsoft.com/office/word/2010/wordml" w:rsidRPr="009B4C8C" w:rsidR="008E13FA" w:rsidP="008E13FA" w:rsidRDefault="008E13FA" w14:paraId="383CE7A6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Motivational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conditions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engagement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internalization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activities</w:t>
      </w:r>
      <w:proofErr w:type="spellEnd"/>
    </w:p>
    <w:p xmlns:wp14="http://schemas.microsoft.com/office/word/2010/wordml" w:rsidRPr="009B4C8C" w:rsidR="008E13FA" w:rsidP="008E13FA" w:rsidRDefault="008E13FA" w14:paraId="417DDCE0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Character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strengths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resilience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capital</w:t>
      </w:r>
      <w:proofErr w:type="spellEnd"/>
    </w:p>
    <w:p xmlns:wp14="http://schemas.microsoft.com/office/word/2010/wordml" w:rsidRPr="009B4C8C" w:rsidR="008E13FA" w:rsidP="008E13FA" w:rsidRDefault="008E13FA" w14:paraId="03E839AA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promoting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creative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climate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flow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</w:p>
    <w:p xmlns:wp14="http://schemas.microsoft.com/office/word/2010/wordml" w:rsidRPr="009B4C8C" w:rsidR="008E13FA" w:rsidP="008E13FA" w:rsidRDefault="008E13FA" w14:paraId="64BE0801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causes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underachievement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family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underlying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difficulties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extrinsic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self-regulation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demotivation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difficulties</w:t>
      </w:r>
      <w:proofErr w:type="spellEnd"/>
    </w:p>
    <w:p xmlns:wp14="http://schemas.microsoft.com/office/word/2010/wordml" w:rsidRPr="009B4C8C" w:rsidR="008E13FA" w:rsidP="008E13FA" w:rsidRDefault="008E13FA" w14:paraId="1B7B7D7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Pathological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pathways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various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screening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symptoms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(CBCL, SDQ)</w:t>
      </w:r>
    </w:p>
    <w:p xmlns:wp14="http://schemas.microsoft.com/office/word/2010/wordml" w:rsidRPr="009B4C8C" w:rsidR="008E13FA" w:rsidP="008E13FA" w:rsidRDefault="008E13FA" w14:paraId="0B993D4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Diagnosis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diagnosis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adolescent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2D65970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Neurodevelopmental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0ECD673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DSM-5.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language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dyscalculia</w:t>
      </w:r>
      <w:proofErr w:type="spellEnd"/>
    </w:p>
    <w:p xmlns:wp14="http://schemas.microsoft.com/office/word/2010/wordml" w:rsidRPr="009B4C8C" w:rsidR="008E13FA" w:rsidP="008E13FA" w:rsidRDefault="008E13FA" w14:paraId="223CF16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speech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language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9B4C8C" w:rsidR="008E13FA" w:rsidP="008E13FA" w:rsidRDefault="008E13FA" w14:paraId="509DBAE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Deficit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Hyperactivity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(ADHD)</w:t>
      </w:r>
    </w:p>
    <w:p xmlns:wp14="http://schemas.microsoft.com/office/word/2010/wordml" w:rsidRPr="009B4C8C" w:rsidR="008E13FA" w:rsidP="008E13FA" w:rsidRDefault="008E13FA" w14:paraId="058DB4D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Autism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spectrum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</w:t>
      </w:r>
      <w:proofErr w:type="spellEnd"/>
    </w:p>
    <w:p xmlns:wp14="http://schemas.microsoft.com/office/word/2010/wordml" w:rsidRPr="009B4C8C" w:rsidR="008E13FA" w:rsidP="008E13FA" w:rsidRDefault="008E13FA" w14:paraId="58E2E3A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syndrome</w:t>
      </w:r>
      <w:proofErr w:type="spellEnd"/>
    </w:p>
    <w:p xmlns:wp14="http://schemas.microsoft.com/office/word/2010/wordml" w:rsidRPr="009B4C8C" w:rsidR="008E13FA" w:rsidP="008E13FA" w:rsidRDefault="008E13FA" w14:paraId="2EFE165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Anxiety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mood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9B4C8C" w:rsidR="008E13FA" w:rsidP="008E13FA" w:rsidRDefault="008E13FA" w14:paraId="7678C73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elimination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9B4C8C" w:rsidR="008E13FA" w:rsidP="008E13FA" w:rsidRDefault="008E13FA" w14:paraId="7EF61D0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Disruptive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impulse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conduct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9B4C8C" w:rsidR="008E13FA" w:rsidP="008E13FA" w:rsidRDefault="008E13FA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8E13FA" w:rsidP="008E13FA" w:rsidRDefault="008E13FA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8E13FA" w:rsidP="008E13FA" w:rsidRDefault="008E13FA" w14:paraId="42A3A7E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Lecture</w:t>
      </w:r>
      <w:proofErr w:type="spellEnd"/>
    </w:p>
    <w:p xmlns:wp14="http://schemas.microsoft.com/office/word/2010/wordml" w:rsidRPr="009B4C8C" w:rsidR="008E13FA" w:rsidP="008E13FA" w:rsidRDefault="008E13FA" w14:paraId="279006C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studies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method-presentations</w:t>
      </w:r>
      <w:proofErr w:type="spellEnd"/>
    </w:p>
    <w:p xmlns:wp14="http://schemas.microsoft.com/office/word/2010/wordml" w:rsidRPr="009B4C8C" w:rsidR="008E13FA" w:rsidP="008E13FA" w:rsidRDefault="008E13FA" w14:paraId="0EF50A9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Cs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bCs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8E13FA" w:rsidP="008E13FA" w:rsidRDefault="008E13FA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E13FA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8E13FA" w:rsidP="009B4C8C" w:rsidRDefault="008E13FA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8E13FA" w:rsidP="008E13FA" w:rsidRDefault="008E13FA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5BEC89A3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9B4C8C" w:rsidR="008E13FA" w:rsidP="008E13FA" w:rsidRDefault="008E13FA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0F0B1B8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569EB16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5-point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scale</w:t>
      </w:r>
      <w:proofErr w:type="spellEnd"/>
    </w:p>
    <w:p xmlns:wp14="http://schemas.microsoft.com/office/word/2010/wordml" w:rsidRPr="009B4C8C" w:rsidR="008E13FA" w:rsidP="008E13FA" w:rsidRDefault="008E13FA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E13FA" w:rsidP="008E13FA" w:rsidRDefault="008E13FA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E13FA" w:rsidP="008E13FA" w:rsidRDefault="008E13FA" w14:paraId="34287C86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demonstration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meaningful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comprehension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covered</w:t>
      </w:r>
      <w:proofErr w:type="spellEnd"/>
    </w:p>
    <w:p xmlns:wp14="http://schemas.microsoft.com/office/word/2010/wordml" w:rsidRPr="009B4C8C" w:rsidR="008E13FA" w:rsidP="008E13FA" w:rsidRDefault="008E13FA" w14:paraId="29C8D39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answer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</w:p>
    <w:p xmlns:wp14="http://schemas.microsoft.com/office/word/2010/wordml" w:rsidRPr="009B4C8C" w:rsidR="008E13FA" w:rsidP="008E13FA" w:rsidRDefault="008E13FA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E13FA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8E13FA" w:rsidP="009B4C8C" w:rsidRDefault="008E13FA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8E13FA" w:rsidP="008E13FA" w:rsidRDefault="008E13FA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8E13FA" w:rsidP="008E13FA" w:rsidRDefault="008E13FA" w14:paraId="4E48CA2E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Flanagan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P, Alfonso, V. C. (2011).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Essentials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Disability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Identification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Hobson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NJ: John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5F1B50A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Fletcher, J.M., Lyon, G.R., Fuchs, L.S.,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Barnes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M.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(2007).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Disabilities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Identification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Intervention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.Y.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Guilford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Press.</w:t>
      </w:r>
    </w:p>
    <w:p xmlns:wp14="http://schemas.microsoft.com/office/word/2010/wordml" w:rsidRPr="009B4C8C" w:rsidR="008E13FA" w:rsidP="008E13FA" w:rsidRDefault="008E13FA" w14:paraId="6E8139B3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Furlong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M.J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Gilman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R. E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Huebner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(2014).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Positive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Schools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2nd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edition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Routledge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69C1A22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Liben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L. S. Müller, U. (2015).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Science.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Volume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2,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Hobooken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NJ: John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4B72835D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Reeve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(2018).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motivation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emotion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7th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Hoboken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NJ: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35ACD1FE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Schutz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P.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Pekrun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 (2007).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Emotion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Burlington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MA: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Elsevier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E13FA" w:rsidP="008E13FA" w:rsidRDefault="008E13FA" w14:paraId="3656B9A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8E13FA" w:rsidP="008E13FA" w:rsidRDefault="008E13FA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8E13FA" w:rsidP="008E13FA" w:rsidRDefault="008E13FA" w14:paraId="0D33C26C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 J. (2014).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Fundamental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Abnormal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Publishers.</w:t>
      </w:r>
    </w:p>
    <w:p xmlns:wp14="http://schemas.microsoft.com/office/word/2010/wordml" w:rsidRPr="009B4C8C" w:rsidR="008E13FA" w:rsidP="008E13FA" w:rsidRDefault="008E13FA" w14:paraId="67802652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Dweck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C. S. (2012.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Mindset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Robinson Publishing.</w:t>
      </w:r>
    </w:p>
    <w:p xmlns:wp14="http://schemas.microsoft.com/office/word/2010/wordml" w:rsidRPr="009B4C8C" w:rsidR="008E13FA" w:rsidP="008E13FA" w:rsidRDefault="008E13FA" w14:paraId="609D65DF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Pekrun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R., Elliot,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J.,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Maier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(2009).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Achievement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Goals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Achievement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Emotions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Testing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Joint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Relations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Performance.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Journal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101(</w:t>
      </w:r>
      <w:proofErr w:type="gram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1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), 115–135.</w:t>
      </w:r>
    </w:p>
    <w:p xmlns:wp14="http://schemas.microsoft.com/office/word/2010/wordml" w:rsidRPr="009B4C8C" w:rsidR="008E13FA" w:rsidP="008E13FA" w:rsidRDefault="008E13FA" w14:paraId="5B936E2A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Seligman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E. P., Ernst, R. M.,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Gillham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J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Reivich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K.,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Linkins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(2009).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classroom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Oxford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Education,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35(</w:t>
      </w:r>
      <w:proofErr w:type="gram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3),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293–311.</w:t>
      </w:r>
    </w:p>
    <w:p xmlns:wp14="http://schemas.microsoft.com/office/word/2010/wordml" w:rsidRPr="009B4C8C" w:rsidR="008E13FA" w:rsidP="0B6D723E" w:rsidRDefault="008E13FA" w14:paraId="74D7DFC1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 w:val="1"/>
          <w:bCs w:val="1"/>
          <w:color w:val="000000"/>
          <w:sz w:val="20"/>
          <w:szCs w:val="20"/>
        </w:rPr>
      </w:pP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Shankland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R. &amp;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Rosset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E. (2017).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Review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of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brief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school-based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positive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psychological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interventions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: A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taster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for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teachers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 and  </w:t>
      </w:r>
      <w:proofErr w:type="spellStart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educators</w:t>
      </w:r>
      <w:proofErr w:type="spellEnd"/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</w:t>
      </w:r>
      <w:proofErr w:type="spellStart"/>
      <w:r w:rsidRPr="0B6D723E" w:rsidR="008E13FA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Educational</w:t>
      </w:r>
      <w:proofErr w:type="spellEnd"/>
      <w:r w:rsidRPr="0B6D723E" w:rsidR="008E13FA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B6D723E" w:rsidR="008E13FA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Psychology</w:t>
      </w:r>
      <w:proofErr w:type="spellEnd"/>
      <w:r w:rsidRPr="0B6D723E" w:rsidR="008E13FA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0B6D723E" w:rsidR="008E13FA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Review</w:t>
      </w:r>
      <w:proofErr w:type="spellEnd"/>
      <w:r w:rsidRPr="0B6D723E" w:rsidR="008E13FA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 xml:space="preserve">, </w:t>
      </w:r>
      <w:r w:rsidRPr="0B6D723E" w:rsidR="008E13FA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29(</w:t>
      </w:r>
      <w:r w:rsidRPr="0B6D723E" w:rsidR="008E13FA">
        <w:rPr>
          <w:rFonts w:ascii="Fotogram Light" w:hAnsi="Fotogram Light" w:eastAsia="Fotogram Light" w:cs="Fotogram Light"/>
          <w:i w:val="1"/>
          <w:iCs w:val="1"/>
          <w:color w:val="000000" w:themeColor="text1" w:themeTint="FF" w:themeShade="FF"/>
          <w:sz w:val="20"/>
          <w:szCs w:val="20"/>
        </w:rPr>
        <w:t>2),</w:t>
      </w:r>
      <w:r w:rsidRPr="0B6D723E" w:rsidR="008E13FA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363–392.</w:t>
      </w:r>
      <w:r w:rsidRPr="0B6D723E" w:rsidR="008E13FA"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</w:p>
    <w:p w:rsidR="0B6D723E" w:rsidP="0B6D723E" w:rsidRDefault="0B6D723E" w14:paraId="52066FD1" w14:textId="24FA2483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</w:pPr>
    </w:p>
    <w:p w:rsidR="0B6D723E" w:rsidP="0B6D723E" w:rsidRDefault="0B6D723E" w14:paraId="6F51E786" w14:textId="75308A8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</w:pPr>
    </w:p>
    <w:p w:rsidR="0B6D723E" w:rsidP="0B6D723E" w:rsidRDefault="0B6D723E" w14:paraId="1D7565EB" w14:textId="756A4629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</w:pPr>
    </w:p>
    <w:p w:rsidR="6B2A7092" w:rsidP="0B6D723E" w:rsidRDefault="6B2A7092" w14:paraId="4D85FDFF" w14:textId="4351C5B4">
      <w:pPr>
        <w:jc w:val="center"/>
      </w:pPr>
      <w:r w:rsidRPr="0B6D723E" w:rsidR="6B2A709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B2A7092" w:rsidP="0B6D723E" w:rsidRDefault="6B2A7092" w14:paraId="0EE29CBB" w14:textId="61EE661B">
      <w:pPr>
        <w:jc w:val="center"/>
      </w:pPr>
      <w:r w:rsidRPr="0B6D723E" w:rsidR="6B2A709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416F6999" w14:textId="470943C1">
      <w:pPr>
        <w:jc w:val="both"/>
      </w:pPr>
      <w:r w:rsidRPr="0B6D723E" w:rsidR="6B2A70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B6D723E" w:rsidTr="0B6D723E" w14:paraId="5D04A09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B6D723E" w:rsidP="0B6D723E" w:rsidRDefault="0B6D723E" w14:paraId="5E45DD79" w14:textId="38B84ACF">
            <w:pPr>
              <w:jc w:val="both"/>
            </w:pPr>
            <w:r w:rsidRPr="0B6D723E" w:rsidR="0B6D723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B2A7092" w:rsidP="0B6D723E" w:rsidRDefault="6B2A7092" w14:paraId="75E5D97A" w14:textId="1A59C31D">
      <w:pPr>
        <w:jc w:val="both"/>
      </w:pPr>
      <w:r w:rsidRPr="0B6D723E" w:rsidR="6B2A70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188E4010" w14:textId="68EEC50A">
      <w:pPr>
        <w:spacing w:line="276" w:lineRule="auto"/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B2A7092" w:rsidP="0B6D723E" w:rsidRDefault="6B2A7092" w14:paraId="61E8640C" w14:textId="0105DDBD">
      <w:pPr>
        <w:spacing w:line="276" w:lineRule="auto"/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B2A7092" w:rsidP="0B6D723E" w:rsidRDefault="6B2A7092" w14:paraId="31746D4C" w14:textId="357B2C2D">
      <w:pPr>
        <w:spacing w:line="276" w:lineRule="auto"/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B2A7092" w:rsidP="0B6D723E" w:rsidRDefault="6B2A7092" w14:paraId="66D8D63F" w14:textId="1B1411A9">
      <w:pPr>
        <w:spacing w:line="276" w:lineRule="auto"/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B2A7092" w:rsidP="0B6D723E" w:rsidRDefault="6B2A7092" w14:paraId="2AF4E020" w14:textId="13DBD6BA">
      <w:pPr>
        <w:spacing w:line="276" w:lineRule="auto"/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B2A7092" w:rsidP="0B6D723E" w:rsidRDefault="6B2A7092" w14:paraId="56872D2C" w14:textId="00CCFEC4">
      <w:pPr>
        <w:spacing w:line="276" w:lineRule="auto"/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B2A7092" w:rsidP="0B6D723E" w:rsidRDefault="6B2A7092" w14:paraId="3D8C6484" w14:textId="595CEE12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5A0347E1" w14:textId="2A7C8BC3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B6D723E" w:rsidTr="0B6D723E" w14:paraId="530B8EF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B6D723E" w:rsidP="0B6D723E" w:rsidRDefault="0B6D723E" w14:paraId="31DEFCD7" w14:textId="487E27B1">
            <w:pPr>
              <w:jc w:val="both"/>
            </w:pPr>
            <w:r w:rsidRPr="0B6D723E" w:rsidR="0B6D723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B2A7092" w:rsidP="0B6D723E" w:rsidRDefault="6B2A7092" w14:paraId="281625E5" w14:textId="482B9C67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4DC80BEF" w14:textId="04797746">
      <w:pPr>
        <w:pStyle w:val="ListParagraph"/>
        <w:numPr>
          <w:ilvl w:val="0"/>
          <w:numId w:val="6"/>
        </w:numPr>
        <w:jc w:val="both"/>
        <w:rPr/>
      </w:pPr>
      <w:r w:rsidRPr="0B6D723E" w:rsidR="6B2A70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485BF2A7" w14:textId="3EB194FD">
      <w:pPr>
        <w:pStyle w:val="ListParagraph"/>
        <w:numPr>
          <w:ilvl w:val="0"/>
          <w:numId w:val="6"/>
        </w:numPr>
        <w:jc w:val="both"/>
        <w:rPr/>
      </w:pPr>
      <w:r w:rsidRPr="0B6D723E" w:rsidR="6B2A70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3750CB5E" w14:textId="36FF9731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6CFA0D5E" w14:textId="26FAD15F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1F89C999" w14:textId="25CD9DFF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2B95BC72" w14:textId="247EA8D6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0DB3EDB9" w14:textId="68B7CF20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B6D723E" w:rsidTr="0B6D723E" w14:paraId="08C89E3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B6D723E" w:rsidP="0B6D723E" w:rsidRDefault="0B6D723E" w14:paraId="21D5803A" w14:textId="492FB424">
            <w:pPr>
              <w:jc w:val="both"/>
            </w:pPr>
            <w:r w:rsidRPr="0B6D723E" w:rsidR="0B6D723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B2A7092" w:rsidP="0B6D723E" w:rsidRDefault="6B2A7092" w14:paraId="46E3AD0C" w14:textId="7DD43C8D">
      <w:pPr>
        <w:jc w:val="both"/>
      </w:pPr>
      <w:r w:rsidRPr="0B6D723E" w:rsidR="6B2A70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2A7092" w:rsidP="0B6D723E" w:rsidRDefault="6B2A7092" w14:paraId="2846EBE2" w14:textId="3C7B7B4D">
      <w:pPr>
        <w:pStyle w:val="ListParagraph"/>
        <w:numPr>
          <w:ilvl w:val="0"/>
          <w:numId w:val="6"/>
        </w:numPr>
        <w:jc w:val="both"/>
        <w:rPr/>
      </w:pPr>
      <w:r w:rsidRPr="0B6D723E" w:rsidR="6B2A70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B6D723E" w:rsidP="0B6D723E" w:rsidRDefault="0B6D723E" w14:paraId="347E0E9B" w14:textId="7E51A9FF">
      <w:pPr>
        <w:pStyle w:val="ListParagraph"/>
        <w:numPr>
          <w:ilvl w:val="0"/>
          <w:numId w:val="6"/>
        </w:numPr>
        <w:jc w:val="both"/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B6D723E" w:rsidP="0B6D723E" w:rsidRDefault="0B6D723E" w14:paraId="5FCE1C24" w14:textId="398CC334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b w:val="1"/>
          <w:bCs w:val="1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R="006E42B3" w:rsidRDefault="006E42B3" w14:paraId="45FB0818" wp14:textId="77777777"/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C647E2"/>
    <w:multiLevelType w:val="multilevel"/>
    <w:tmpl w:val="FB3854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DB6061C"/>
    <w:multiLevelType w:val="multilevel"/>
    <w:tmpl w:val="30D6F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B42F04"/>
    <w:multiLevelType w:val="multilevel"/>
    <w:tmpl w:val="CACA3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53633E7B"/>
    <w:multiLevelType w:val="multilevel"/>
    <w:tmpl w:val="4DCAD026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6BE16F4B"/>
    <w:multiLevelType w:val="multilevel"/>
    <w:tmpl w:val="C87253D8"/>
    <w:lvl w:ilvl="0">
      <w:start w:val="1"/>
      <w:numFmt w:val="bullet"/>
      <w:lvlText w:val="▪"/>
      <w:lvlJc w:val="left"/>
      <w:pPr>
        <w:ind w:left="22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hAnsi="Noto Sans Symbols" w:eastAsia="Noto Sans Symbols" w:cs="Noto Sans Symbols"/>
      </w:rPr>
    </w:lvl>
  </w:abstractNum>
  <w:num w:numId="6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FA"/>
    <w:rsid w:val="006E42B3"/>
    <w:rsid w:val="008E13FA"/>
    <w:rsid w:val="0B6D723E"/>
    <w:rsid w:val="6B2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83F8"/>
  <w15:chartTrackingRefBased/>
  <w15:docId w15:val="{B333DE60-8034-44F7-A8ED-4BA81081F8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8E13FA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2021-08-23T13:08:00.0000000Z</dcterms:created>
  <dcterms:modified xsi:type="dcterms:W3CDTF">2021-08-26T16:22:13.3065444Z</dcterms:modified>
</coreProperties>
</file>